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870724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724" w:rsidRDefault="002C6391">
            <w:pPr>
              <w:jc w:val="both"/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1" cy="990596"/>
                  <wp:effectExtent l="0" t="0" r="0" b="4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1" cy="99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724" w:rsidRDefault="002C6391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870724" w:rsidRDefault="002C6391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</w:p>
          <w:p w:rsidR="00870724" w:rsidRDefault="002C6391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870724" w:rsidRDefault="002C6391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870724" w:rsidRDefault="002C6391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  <w:r>
              <w:rPr>
                <w:rFonts w:ascii="標楷體" w:eastAsia="標楷體" w:hAnsi="標楷體"/>
                <w:color w:val="FF0000"/>
              </w:rPr>
              <w:t>編號：</w:t>
            </w:r>
            <w:r>
              <w:rPr>
                <w:rFonts w:ascii="標楷體" w:eastAsia="標楷體" w:hAnsi="標楷體"/>
                <w:color w:val="FF0000"/>
              </w:rPr>
              <w:t>109-10</w:t>
            </w:r>
          </w:p>
        </w:tc>
      </w:tr>
    </w:tbl>
    <w:p w:rsidR="00870724" w:rsidRDefault="002C63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156847</wp:posOffset>
                </wp:positionV>
                <wp:extent cx="5410203" cy="14603"/>
                <wp:effectExtent l="19050" t="19050" r="19047" b="23497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3" cy="1460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F7F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6pt;height:1.1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" strokeweight="2.25pt"/>
            </w:pict>
          </mc:Fallback>
        </mc:AlternateContent>
      </w:r>
    </w:p>
    <w:p w:rsidR="00870724" w:rsidRDefault="002C63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355585" cy="1028700"/>
                <wp:effectExtent l="0" t="0" r="16515" b="1905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870724" w:rsidRDefault="002C639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  <w:t>共同防堵防疫漏洞</w:t>
                            </w:r>
                          </w:p>
                          <w:p w:rsidR="00870724" w:rsidRDefault="002C6391">
                            <w:pPr>
                              <w:spacing w:line="500" w:lineRule="exact"/>
                              <w:ind w:left="566" w:right="401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  <w:t>士林分署與新北衛生局展開閃電行動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6.65pt;width:421.7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" strokecolor="white" strokeweight=".26467mm">
                <v:stroke dashstyle="dash"/>
                <v:textbox>
                  <w:txbxContent>
                    <w:p w:rsidR="00870724" w:rsidRDefault="002C639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</w:rPr>
                        <w:t>共同防堵防疫漏洞</w:t>
                      </w:r>
                    </w:p>
                    <w:p w:rsidR="00870724" w:rsidRDefault="002C6391">
                      <w:pPr>
                        <w:spacing w:line="500" w:lineRule="exact"/>
                        <w:ind w:left="566" w:right="401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</w:rPr>
                        <w:t>士林分署與新北衛生局展開閃電行動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870724" w:rsidRDefault="002C6391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 </w:t>
      </w:r>
    </w:p>
    <w:p w:rsidR="00870724" w:rsidRDefault="00870724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870724" w:rsidRDefault="002C6391">
      <w:pPr>
        <w:spacing w:before="360" w:line="480" w:lineRule="exact"/>
        <w:ind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因</w:t>
      </w:r>
      <w:r>
        <w:rPr>
          <w:rFonts w:ascii="標楷體" w:eastAsia="標楷體" w:hAnsi="標楷體"/>
          <w:sz w:val="32"/>
        </w:rPr>
        <w:t>COVID-19(</w:t>
      </w:r>
      <w:r>
        <w:rPr>
          <w:rFonts w:ascii="標楷體" w:eastAsia="標楷體" w:hAnsi="標楷體"/>
          <w:sz w:val="32"/>
        </w:rPr>
        <w:t>俗稱武漢肺炎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疫情升溫全球大流行，法務部行政執行署超前部署早於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30</w:t>
      </w:r>
      <w:r>
        <w:rPr>
          <w:rFonts w:ascii="標楷體" w:eastAsia="標楷體" w:hAnsi="標楷體"/>
          <w:sz w:val="32"/>
        </w:rPr>
        <w:t>日成立「應變小組」，並通令所屬各行政執行分署（下稱各執行分署）成立「防疫執行專責小組」由專股辦理違反防疫相關規定之裁罰案件（下稱此類防疫案件），同時與各移送機關建立聯絡窗口，主動了解此類防疫案件的件數、金額、限繳日期及繳納情形等，通力合作以全面掌握此類防疫案件之強制執行。法務部行政執行署士林分署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下稱士林分署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全體同仁在莊俊仁分署長之指揮下，對於此類防疫案件均迅速辦理，共同防堵防疫漏洞。</w:t>
      </w:r>
    </w:p>
    <w:p w:rsidR="00870724" w:rsidRDefault="002C6391">
      <w:pPr>
        <w:spacing w:before="360" w:line="480" w:lineRule="exact"/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士林</w:t>
      </w:r>
      <w:r>
        <w:rPr>
          <w:rFonts w:ascii="標楷體" w:eastAsia="標楷體" w:hAnsi="標楷體"/>
          <w:sz w:val="32"/>
          <w:szCs w:val="32"/>
        </w:rPr>
        <w:t>分署與新北市政府衛生局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下稱新北衛生局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建立聯繫窗口後，溝通良好，對於違反「傳染病防治法」及「嚴重特殊傳染性肺炎防治及紓困振興特別條例」等相關防疫規定而被裁罰卻逾期或拒不繳納者，均迅速移送士林分署執行。義務人管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安因違反居家檢疫遭新北衛生局裁罰新臺幣（下同）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萬元，該局於第一時間即通報士林分署掌握案情與財產狀況，義務人管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安自知若再不繳納將</w:t>
      </w:r>
      <w:r>
        <w:rPr>
          <w:rFonts w:ascii="標楷體" w:eastAsia="標楷體" w:hAnsi="標楷體"/>
          <w:sz w:val="32"/>
          <w:szCs w:val="32"/>
        </w:rPr>
        <w:lastRenderedPageBreak/>
        <w:t>遭移送強制執行，不僅財產被執行，信用受損還可能被限制出境，深知無法再逃避，即向親友借款一次繳清全部罰鍰。另全國第一例移送行政執行違反防疫規定之案件，係由連江縣政府衛生局</w:t>
      </w:r>
      <w:r>
        <w:rPr>
          <w:rFonts w:ascii="標楷體" w:eastAsia="標楷體" w:hAnsi="標楷體"/>
          <w:sz w:val="32"/>
          <w:szCs w:val="32"/>
        </w:rPr>
        <w:t>移送</w:t>
      </w:r>
      <w:r>
        <w:rPr>
          <w:rFonts w:ascii="標楷體" w:eastAsia="標楷體" w:hAnsi="標楷體"/>
          <w:sz w:val="32"/>
          <w:szCs w:val="32"/>
        </w:rPr>
        <w:t>61</w:t>
      </w:r>
      <w:r>
        <w:rPr>
          <w:rFonts w:ascii="標楷體" w:eastAsia="標楷體" w:hAnsi="標楷體"/>
          <w:sz w:val="32"/>
          <w:szCs w:val="32"/>
        </w:rPr>
        <w:t>歲陸配王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萍違反居家檢疫規定裁罰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萬元案件至士林分署強制執行，士林分署專股辦理後立即調查義務人王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萍財產資料並與其聯絡後，了解義務人王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萍目前獨居馬祖南竿，生活相當困難，嚴重缺乏生活所需費用且因腳傷沒有辦法找到工作，士林分署秉持公義與關懷的執行理念，先協助王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萍申請相關的社會補助，使其生活脫困，並曉以大義告知她有關違反防疫規定之裁罰一定要繳納，另外，在疫情結束前，一定要配合政府各項防疫政策，絕對不能再違反任何防疫相關規定，士林分署會採取寬緩執行來協助她清償該筆罰鍰，最後義務人王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萍表示願意分期繳納</w:t>
      </w:r>
      <w:r>
        <w:rPr>
          <w:rFonts w:ascii="標楷體" w:eastAsia="標楷體" w:hAnsi="標楷體"/>
          <w:sz w:val="32"/>
          <w:szCs w:val="32"/>
        </w:rPr>
        <w:t>罰鍰以贖罪愆，並再三保證絕會配合政府各項防疫</w:t>
      </w:r>
      <w:r>
        <w:rPr>
          <w:rFonts w:ascii="標楷體" w:eastAsia="標楷體" w:hAnsi="標楷體"/>
          <w:sz w:val="32"/>
        </w:rPr>
        <w:t>措施</w:t>
      </w:r>
      <w:r>
        <w:rPr>
          <w:rFonts w:ascii="標楷體" w:eastAsia="標楷體" w:hAnsi="標楷體"/>
          <w:sz w:val="32"/>
          <w:szCs w:val="32"/>
        </w:rPr>
        <w:t>為防疫共盡心力。</w:t>
      </w:r>
    </w:p>
    <w:p w:rsidR="00870724" w:rsidRDefault="002C6391">
      <w:pPr>
        <w:spacing w:before="360" w:line="480" w:lineRule="exact"/>
        <w:ind w:firstLine="640"/>
        <w:jc w:val="both"/>
      </w:pPr>
      <w:r>
        <w:rPr>
          <w:rFonts w:ascii="標楷體" w:eastAsia="標楷體" w:hAnsi="標楷體"/>
          <w:sz w:val="32"/>
        </w:rPr>
        <w:t>士林分署再次呼籲，在</w:t>
      </w:r>
      <w:r>
        <w:rPr>
          <w:rFonts w:ascii="標楷體" w:eastAsia="標楷體" w:hAnsi="標楷體"/>
          <w:sz w:val="32"/>
        </w:rPr>
        <w:t>COVID-19(</w:t>
      </w:r>
      <w:r>
        <w:rPr>
          <w:rFonts w:ascii="標楷體" w:eastAsia="標楷體" w:hAnsi="標楷體"/>
          <w:sz w:val="32"/>
        </w:rPr>
        <w:t>俗稱武漢肺炎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全球大流行的當下，為保護守衛自身與全體國民之健康，請您務必配合</w:t>
      </w:r>
      <w:r>
        <w:rPr>
          <w:rFonts w:ascii="標楷體" w:eastAsia="標楷體" w:hAnsi="標楷體"/>
          <w:sz w:val="32"/>
          <w:szCs w:val="32"/>
        </w:rPr>
        <w:t>政府各項防疫政策</w:t>
      </w:r>
      <w:r>
        <w:rPr>
          <w:rFonts w:ascii="標楷體" w:eastAsia="標楷體" w:hAnsi="標楷體"/>
          <w:sz w:val="32"/>
        </w:rPr>
        <w:t>，切勿心存僥倖而違反防疫相關規定以身試法，不僅可能會遭重罰，如不繳納，將由地方衛生機關將案件移送至各執行分署進行強制執行，如無法一次清償或身體不適不克到場，亦應主動聯繫各執行分署洽詢分期繳納事宜，以免您的財產遭受執行</w:t>
      </w:r>
      <w:r>
        <w:rPr>
          <w:rFonts w:ascii="標楷體" w:eastAsia="標楷體" w:hAnsi="標楷體"/>
          <w:sz w:val="32"/>
          <w:szCs w:val="32"/>
        </w:rPr>
        <w:t>、信用受損，得不償失。</w:t>
      </w:r>
    </w:p>
    <w:p w:rsidR="00870724" w:rsidRDefault="00870724">
      <w:pPr>
        <w:spacing w:before="360" w:line="48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p w:rsidR="00870724" w:rsidRDefault="00870724">
      <w:pPr>
        <w:spacing w:before="360" w:line="48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sectPr w:rsidR="0087072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91" w:rsidRDefault="002C6391">
      <w:r>
        <w:separator/>
      </w:r>
    </w:p>
  </w:endnote>
  <w:endnote w:type="continuationSeparator" w:id="0">
    <w:p w:rsidR="002C6391" w:rsidRDefault="002C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CB" w:rsidRDefault="002C6391">
    <w:pPr>
      <w:pStyle w:val="a7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4727D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4727D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91" w:rsidRDefault="002C6391">
      <w:r>
        <w:rPr>
          <w:color w:val="000000"/>
        </w:rPr>
        <w:separator/>
      </w:r>
    </w:p>
  </w:footnote>
  <w:footnote w:type="continuationSeparator" w:id="0">
    <w:p w:rsidR="002C6391" w:rsidRDefault="002C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0724"/>
    <w:rsid w:val="0024727D"/>
    <w:rsid w:val="002C6391"/>
    <w:rsid w:val="008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A2DAA-6C52-47F8-A5E3-8DCA1D5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字元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Salutation"/>
    <w:basedOn w:val="a"/>
    <w:next w:val="a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rPr>
      <w:rFonts w:ascii="標楷體" w:eastAsia="標楷體" w:hAnsi="標楷體"/>
      <w:kern w:val="3"/>
      <w:sz w:val="32"/>
      <w:szCs w:val="32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rPr>
      <w:rFonts w:ascii="標楷體" w:eastAsia="標楷體" w:hAnsi="標楷體"/>
      <w:kern w:val="3"/>
      <w:sz w:val="32"/>
      <w:szCs w:val="32"/>
    </w:rPr>
  </w:style>
  <w:style w:type="character" w:customStyle="1" w:styleId="ya-q-full-text1">
    <w:name w:val="ya-q-full-text1"/>
    <w:rPr>
      <w:color w:val="26282A"/>
      <w:sz w:val="23"/>
      <w:szCs w:val="23"/>
    </w:rPr>
  </w:style>
  <w:style w:type="character" w:styleId="af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lastModifiedBy>李亞泰</cp:lastModifiedBy>
  <cp:revision>2</cp:revision>
  <cp:lastPrinted>2020-03-20T02:33:00Z</cp:lastPrinted>
  <dcterms:created xsi:type="dcterms:W3CDTF">2022-03-08T01:32:00Z</dcterms:created>
  <dcterms:modified xsi:type="dcterms:W3CDTF">2022-03-08T01:32:00Z</dcterms:modified>
</cp:coreProperties>
</file>